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E0E39" w14:textId="77777777" w:rsidR="008F05E2" w:rsidRPr="00A4190D" w:rsidRDefault="00000000">
      <w:pPr>
        <w:pStyle w:val="Heading1"/>
        <w:spacing w:before="0"/>
        <w:rPr>
          <w:sz w:val="22"/>
          <w:szCs w:val="22"/>
        </w:rPr>
      </w:pPr>
      <w:r w:rsidRPr="00A4190D">
        <w:rPr>
          <w:sz w:val="22"/>
          <w:szCs w:val="22"/>
        </w:rPr>
        <w:t>Purpose</w:t>
      </w:r>
    </w:p>
    <w:p w14:paraId="0D446AF7" w14:textId="77777777" w:rsidR="008F05E2" w:rsidRPr="00A4190D" w:rsidRDefault="00000000" w:rsidP="00A4190D">
      <w:pPr>
        <w:spacing w:after="0"/>
        <w:rPr>
          <w:sz w:val="22"/>
        </w:rPr>
      </w:pPr>
      <w:r>
        <w:t xml:space="preserve">This form is intended to obtain the manufacturer's declaration and design data required for the preliminary determination of whether a range of static flame arrester models may be treated as one design series. Final acceptance remains subject to </w:t>
      </w:r>
      <w:proofErr w:type="spellStart"/>
      <w:r>
        <w:t>ConformEx</w:t>
      </w:r>
      <w:proofErr w:type="spellEnd"/>
      <w:r>
        <w:t xml:space="preserve"> review of the drawings, dimensions, model information and applicable test evidence.</w:t>
      </w:r>
    </w:p>
    <w:p w14:paraId="14C8396F" w14:textId="77777777" w:rsidR="008F05E2" w:rsidRPr="00A4190D" w:rsidRDefault="00000000">
      <w:pPr>
        <w:spacing w:after="0"/>
        <w:rPr>
          <w:sz w:val="22"/>
        </w:rPr>
      </w:pPr>
      <w:r>
        <w:t xml:space="preserve">Applicability notes: Clause 7.2 permits static flame arresters of similar design to be grouped in a design series, except endurance-burning and pre-volume flame arresters. The additional nominal-size and RA requirements apply to in-line flame arresters. Au and Ap values are to be provided by the manufacturer in the Model Information Form; RA verification is performed by </w:t>
      </w:r>
      <w:proofErr w:type="spellStart"/>
      <w:r>
        <w:t>ConformEx</w:t>
      </w:r>
      <w:proofErr w:type="spellEnd"/>
      <w:r>
        <w:t>.</w:t>
      </w:r>
    </w:p>
    <w:p w14:paraId="60501789" w14:textId="77777777" w:rsidR="00A4190D" w:rsidRPr="00A4190D" w:rsidRDefault="00A4190D" w:rsidP="00A4190D">
      <w:pPr>
        <w:pStyle w:val="Heading1"/>
        <w:spacing w:before="0"/>
        <w:rPr>
          <w:sz w:val="22"/>
          <w:szCs w:val="22"/>
        </w:rPr>
      </w:pPr>
      <w:r w:rsidRPr="00A4190D">
        <w:rPr>
          <w:sz w:val="22"/>
          <w:szCs w:val="22"/>
        </w:rPr>
        <w:t>Reference and Use Notes</w:t>
      </w:r>
    </w:p>
    <w:p w14:paraId="7BA3D628" w14:textId="77777777" w:rsidR="00A4190D" w:rsidRPr="00FA18DA" w:rsidRDefault="00A4190D" w:rsidP="00A4190D">
      <w:pPr>
        <w:spacing w:after="0"/>
        <w:ind w:left="283" w:hanging="283"/>
        <w:rPr>
          <w:sz w:val="20"/>
          <w:szCs w:val="20"/>
        </w:rPr>
      </w:pPr>
      <w:r w:rsidRPr="00FA18DA">
        <w:rPr>
          <w:b/>
          <w:sz w:val="20"/>
          <w:szCs w:val="20"/>
        </w:rPr>
        <w:t xml:space="preserve">• </w:t>
      </w:r>
      <w:r w:rsidRPr="00FA18DA">
        <w:rPr>
          <w:sz w:val="20"/>
          <w:szCs w:val="20"/>
        </w:rPr>
        <w:t>Reference: ISO/IEC 80079-49:2024, Clause 7.2 (Design series), Table 6 (Design series), and Clause 7.1 for quenching-gap construction information.</w:t>
      </w:r>
    </w:p>
    <w:p w14:paraId="575BB23E" w14:textId="77777777" w:rsidR="00A4190D" w:rsidRPr="00FA18DA" w:rsidRDefault="00A4190D" w:rsidP="00A4190D">
      <w:pPr>
        <w:spacing w:after="0"/>
        <w:ind w:left="283" w:hanging="283"/>
        <w:rPr>
          <w:sz w:val="20"/>
          <w:szCs w:val="20"/>
        </w:rPr>
      </w:pPr>
      <w:r>
        <w:t xml:space="preserve">• This declaration is a preliminary screening document. It does not replace the detailed requirements of ISO/IEC 80079-49:2024, </w:t>
      </w:r>
      <w:proofErr w:type="spellStart"/>
      <w:r>
        <w:t>ConformEx</w:t>
      </w:r>
      <w:proofErr w:type="spellEnd"/>
      <w:r>
        <w:t xml:space="preserve"> technical evaluation, or the applicable flame-transmission tests.</w:t>
      </w:r>
    </w:p>
    <w:p w14:paraId="73D1DC25" w14:textId="77777777" w:rsidR="00A4190D" w:rsidRPr="00FA18DA" w:rsidRDefault="00A4190D" w:rsidP="00A4190D">
      <w:pPr>
        <w:spacing w:after="0"/>
        <w:ind w:left="283" w:hanging="283"/>
        <w:rPr>
          <w:sz w:val="20"/>
          <w:szCs w:val="20"/>
        </w:rPr>
      </w:pPr>
      <w:r w:rsidRPr="00FA18DA">
        <w:rPr>
          <w:b/>
          <w:sz w:val="20"/>
          <w:szCs w:val="20"/>
        </w:rPr>
        <w:t xml:space="preserve">• </w:t>
      </w:r>
      <w:r w:rsidRPr="00FA18DA">
        <w:rPr>
          <w:sz w:val="20"/>
          <w:szCs w:val="20"/>
        </w:rPr>
        <w:t xml:space="preserve">The design-series provisions of Clause 7.2 </w:t>
      </w:r>
      <w:r w:rsidRPr="00FA18DA">
        <w:rPr>
          <w:sz w:val="20"/>
          <w:szCs w:val="20"/>
          <w:highlight w:val="yellow"/>
        </w:rPr>
        <w:t>exclude endurance-burning and pre-volume flame arresters</w:t>
      </w:r>
      <w:r w:rsidRPr="00FA18DA">
        <w:rPr>
          <w:sz w:val="20"/>
          <w:szCs w:val="20"/>
        </w:rPr>
        <w:t>.</w:t>
      </w:r>
    </w:p>
    <w:p w14:paraId="54F77FA9" w14:textId="77777777" w:rsidR="00A4190D" w:rsidRPr="00FA18DA" w:rsidRDefault="00A4190D" w:rsidP="00A4190D">
      <w:pPr>
        <w:spacing w:after="0"/>
        <w:ind w:left="283" w:hanging="283"/>
        <w:rPr>
          <w:sz w:val="20"/>
          <w:szCs w:val="20"/>
        </w:rPr>
      </w:pPr>
      <w:r w:rsidRPr="00FA18DA">
        <w:rPr>
          <w:b/>
          <w:sz w:val="20"/>
          <w:szCs w:val="20"/>
        </w:rPr>
        <w:t xml:space="preserve">• </w:t>
      </w:r>
      <w:r w:rsidRPr="00FA18DA">
        <w:rPr>
          <w:sz w:val="20"/>
          <w:szCs w:val="20"/>
        </w:rPr>
        <w:t xml:space="preserve">For </w:t>
      </w:r>
      <w:r w:rsidRPr="00FA18DA">
        <w:rPr>
          <w:sz w:val="20"/>
          <w:szCs w:val="20"/>
          <w:highlight w:val="yellow"/>
        </w:rPr>
        <w:t>non-measurable flame arrester types</w:t>
      </w:r>
      <w:r w:rsidRPr="00FA18DA">
        <w:rPr>
          <w:sz w:val="20"/>
          <w:szCs w:val="20"/>
        </w:rPr>
        <w:t>, Clause 7.3.1 additionally requires equivalence in design, manufacture and construction to the test sample.</w:t>
      </w:r>
    </w:p>
    <w:p w14:paraId="35E958ED" w14:textId="77777777" w:rsidR="008F05E2" w:rsidRPr="007A1F1E" w:rsidRDefault="00000000">
      <w:pPr>
        <w:pStyle w:val="Heading1"/>
        <w:spacing w:before="0"/>
        <w:rPr>
          <w:szCs w:val="24"/>
        </w:rPr>
      </w:pPr>
      <w:r>
        <w:t>Manufacturer Declaration: Design Similarity</w:t>
      </w:r>
    </w:p>
    <w:p w14:paraId="54055077" w14:textId="77777777" w:rsidR="008F05E2" w:rsidRPr="001D56F8" w:rsidRDefault="00000000">
      <w:pPr>
        <w:spacing w:after="0"/>
        <w:rPr>
          <w:sz w:val="22"/>
        </w:rPr>
      </w:pPr>
      <w:r>
        <w:t>Instruction: Answer each question for all models proposed to be included in the same design series. If “No / fail” is selected, provide details and identify the affected model(s). Au and Ap values requested in Item 8 shall be entered for each applicable model in the Model Information Form.</w:t>
      </w:r>
    </w:p>
    <w:tbl>
      <w:tblPr>
        <w:tblStyle w:val="TableGrid"/>
        <w:tblW w:w="0" w:type="auto"/>
        <w:jc w:val="center"/>
        <w:tblLayout w:type="fixed"/>
        <w:tblLook w:val="04A0" w:firstRow="1" w:lastRow="0" w:firstColumn="1" w:lastColumn="0" w:noHBand="0" w:noVBand="1"/>
      </w:tblPr>
      <w:tblGrid>
        <w:gridCol w:w="567"/>
        <w:gridCol w:w="1928"/>
        <w:gridCol w:w="4649"/>
        <w:gridCol w:w="6123"/>
        <w:gridCol w:w="680"/>
        <w:gridCol w:w="680"/>
      </w:tblGrid>
      <w:tr w:rsidR="008F05E2" w:rsidRPr="001D56F8" w14:paraId="43DAC91F" w14:textId="77777777" w:rsidTr="001D56F8">
        <w:trPr>
          <w:cantSplit/>
          <w:trHeight w:val="324"/>
          <w:tblHeader/>
          <w:jc w:val="center"/>
        </w:trPr>
        <w:tc>
          <w:tcPr>
            <w:tcW w:w="567" w:type="dxa"/>
            <w:shd w:val="clear" w:color="auto" w:fill="D9EAF7"/>
            <w:vAlign w:val="center"/>
          </w:tcPr>
          <w:p w14:paraId="6AECD34C" w14:textId="77777777" w:rsidR="008F05E2" w:rsidRPr="001D56F8" w:rsidRDefault="001D56F8" w:rsidP="001D56F8">
            <w:pPr>
              <w:jc w:val="center"/>
              <w:rPr>
                <w:sz w:val="22"/>
                <w:szCs w:val="32"/>
              </w:rPr>
            </w:pPr>
            <w:r>
              <w:rPr>
                <w:b/>
                <w:sz w:val="22"/>
                <w:szCs w:val="32"/>
              </w:rPr>
              <w:t>#</w:t>
            </w:r>
          </w:p>
        </w:tc>
        <w:tc>
          <w:tcPr>
            <w:tcW w:w="1928" w:type="dxa"/>
            <w:shd w:val="clear" w:color="auto" w:fill="D9EAF7"/>
            <w:vAlign w:val="center"/>
          </w:tcPr>
          <w:p w14:paraId="1A73044C" w14:textId="77777777" w:rsidR="008F05E2" w:rsidRPr="001D56F8" w:rsidRDefault="00000000">
            <w:pPr>
              <w:rPr>
                <w:sz w:val="22"/>
                <w:szCs w:val="32"/>
              </w:rPr>
            </w:pPr>
            <w:r w:rsidRPr="001D56F8">
              <w:rPr>
                <w:b/>
                <w:sz w:val="22"/>
                <w:szCs w:val="32"/>
              </w:rPr>
              <w:t>Check Item</w:t>
            </w:r>
          </w:p>
        </w:tc>
        <w:tc>
          <w:tcPr>
            <w:tcW w:w="4649" w:type="dxa"/>
            <w:shd w:val="clear" w:color="auto" w:fill="D9EAF7"/>
            <w:vAlign w:val="center"/>
          </w:tcPr>
          <w:p w14:paraId="49788A7C" w14:textId="77777777" w:rsidR="008F05E2" w:rsidRPr="001D56F8" w:rsidRDefault="00000000" w:rsidP="001D56F8">
            <w:pPr>
              <w:jc w:val="center"/>
              <w:rPr>
                <w:sz w:val="22"/>
                <w:szCs w:val="32"/>
              </w:rPr>
            </w:pPr>
            <w:r w:rsidRPr="001D56F8">
              <w:rPr>
                <w:b/>
                <w:sz w:val="22"/>
                <w:szCs w:val="32"/>
              </w:rPr>
              <w:t>Manufacturer Question</w:t>
            </w:r>
          </w:p>
        </w:tc>
        <w:tc>
          <w:tcPr>
            <w:tcW w:w="6123" w:type="dxa"/>
            <w:shd w:val="clear" w:color="auto" w:fill="D9EAF7"/>
            <w:vAlign w:val="center"/>
          </w:tcPr>
          <w:p w14:paraId="30659DB3" w14:textId="77777777" w:rsidR="008F05E2" w:rsidRPr="001D56F8" w:rsidRDefault="00000000" w:rsidP="001D56F8">
            <w:pPr>
              <w:jc w:val="center"/>
              <w:rPr>
                <w:sz w:val="22"/>
                <w:szCs w:val="32"/>
              </w:rPr>
            </w:pPr>
            <w:r w:rsidRPr="001D56F8">
              <w:rPr>
                <w:b/>
                <w:sz w:val="22"/>
                <w:szCs w:val="32"/>
              </w:rPr>
              <w:t>Acceptance Criterion</w:t>
            </w:r>
          </w:p>
        </w:tc>
        <w:tc>
          <w:tcPr>
            <w:tcW w:w="680" w:type="dxa"/>
            <w:shd w:val="clear" w:color="auto" w:fill="D9EAF7"/>
            <w:vAlign w:val="center"/>
          </w:tcPr>
          <w:p w14:paraId="455FB006" w14:textId="77777777" w:rsidR="005E4A60" w:rsidRPr="005E4A60" w:rsidRDefault="00000000" w:rsidP="005E4A60">
            <w:pPr>
              <w:jc w:val="center"/>
              <w:rPr>
                <w:b/>
                <w:sz w:val="20"/>
                <w:szCs w:val="28"/>
              </w:rPr>
            </w:pPr>
            <w:r w:rsidRPr="005E4A60">
              <w:rPr>
                <w:b/>
                <w:sz w:val="20"/>
                <w:szCs w:val="28"/>
              </w:rPr>
              <w:t>Yes</w:t>
            </w:r>
            <w:r w:rsidR="005E4A60" w:rsidRPr="005E4A60">
              <w:rPr>
                <w:b/>
                <w:sz w:val="20"/>
                <w:szCs w:val="28"/>
              </w:rPr>
              <w:t>/pass</w:t>
            </w:r>
          </w:p>
        </w:tc>
        <w:tc>
          <w:tcPr>
            <w:tcW w:w="680" w:type="dxa"/>
            <w:shd w:val="clear" w:color="auto" w:fill="D9EAF7"/>
            <w:vAlign w:val="center"/>
          </w:tcPr>
          <w:p w14:paraId="02F0A169" w14:textId="77777777" w:rsidR="005E4A60" w:rsidRDefault="00000000" w:rsidP="001D56F8">
            <w:pPr>
              <w:jc w:val="center"/>
              <w:rPr>
                <w:b/>
                <w:sz w:val="20"/>
                <w:szCs w:val="28"/>
              </w:rPr>
            </w:pPr>
            <w:r w:rsidRPr="005E4A60">
              <w:rPr>
                <w:b/>
                <w:sz w:val="20"/>
                <w:szCs w:val="28"/>
              </w:rPr>
              <w:t>No</w:t>
            </w:r>
            <w:r w:rsidR="005E4A60" w:rsidRPr="005E4A60">
              <w:rPr>
                <w:b/>
                <w:sz w:val="20"/>
                <w:szCs w:val="28"/>
              </w:rPr>
              <w:t>/</w:t>
            </w:r>
          </w:p>
          <w:p w14:paraId="646CFAB4" w14:textId="77777777" w:rsidR="008F05E2" w:rsidRPr="005E4A60" w:rsidRDefault="005E4A60" w:rsidP="001D56F8">
            <w:pPr>
              <w:jc w:val="center"/>
              <w:rPr>
                <w:sz w:val="20"/>
                <w:szCs w:val="28"/>
              </w:rPr>
            </w:pPr>
            <w:r w:rsidRPr="005E4A60">
              <w:rPr>
                <w:b/>
                <w:sz w:val="20"/>
                <w:szCs w:val="28"/>
              </w:rPr>
              <w:t>fail</w:t>
            </w:r>
          </w:p>
        </w:tc>
      </w:tr>
      <w:tr w:rsidR="00242CAC" w:rsidRPr="001D56F8" w14:paraId="0093EDE9" w14:textId="77777777" w:rsidTr="00242CAC">
        <w:trPr>
          <w:cantSplit/>
          <w:jc w:val="center"/>
        </w:trPr>
        <w:tc>
          <w:tcPr>
            <w:tcW w:w="567" w:type="dxa"/>
            <w:tcMar>
              <w:top w:w="65" w:type="dxa"/>
              <w:left w:w="65" w:type="dxa"/>
              <w:bottom w:w="65" w:type="dxa"/>
              <w:right w:w="65" w:type="dxa"/>
            </w:tcMar>
            <w:vAlign w:val="center"/>
          </w:tcPr>
          <w:p w14:paraId="3B629329" w14:textId="77777777" w:rsidR="00242CAC" w:rsidRPr="001D56F8" w:rsidRDefault="00242CAC" w:rsidP="00242CAC">
            <w:pPr>
              <w:jc w:val="center"/>
              <w:rPr>
                <w:sz w:val="22"/>
                <w:szCs w:val="32"/>
              </w:rPr>
            </w:pPr>
            <w:r w:rsidRPr="001D56F8">
              <w:rPr>
                <w:sz w:val="22"/>
                <w:szCs w:val="32"/>
              </w:rPr>
              <w:t>1</w:t>
            </w:r>
          </w:p>
        </w:tc>
        <w:tc>
          <w:tcPr>
            <w:tcW w:w="1928" w:type="dxa"/>
            <w:tcMar>
              <w:top w:w="65" w:type="dxa"/>
              <w:left w:w="65" w:type="dxa"/>
              <w:bottom w:w="65" w:type="dxa"/>
              <w:right w:w="65" w:type="dxa"/>
            </w:tcMar>
            <w:vAlign w:val="center"/>
          </w:tcPr>
          <w:p w14:paraId="4FB4711F" w14:textId="77777777" w:rsidR="00242CAC" w:rsidRPr="001D56F8" w:rsidRDefault="00242CAC" w:rsidP="00242CAC">
            <w:pPr>
              <w:rPr>
                <w:sz w:val="22"/>
                <w:szCs w:val="32"/>
              </w:rPr>
            </w:pPr>
            <w:r w:rsidRPr="001D56F8">
              <w:rPr>
                <w:sz w:val="22"/>
                <w:szCs w:val="32"/>
              </w:rPr>
              <w:t>Common design drawing</w:t>
            </w:r>
          </w:p>
        </w:tc>
        <w:tc>
          <w:tcPr>
            <w:tcW w:w="4649" w:type="dxa"/>
            <w:tcMar>
              <w:top w:w="65" w:type="dxa"/>
              <w:left w:w="65" w:type="dxa"/>
              <w:bottom w:w="65" w:type="dxa"/>
              <w:right w:w="65" w:type="dxa"/>
            </w:tcMar>
            <w:vAlign w:val="center"/>
          </w:tcPr>
          <w:p w14:paraId="58649B4F" w14:textId="77777777" w:rsidR="00242CAC" w:rsidRPr="001D56F8" w:rsidRDefault="00242CAC" w:rsidP="00242CAC">
            <w:pPr>
              <w:rPr>
                <w:sz w:val="22"/>
                <w:szCs w:val="32"/>
              </w:rPr>
            </w:pPr>
            <w:r w:rsidRPr="001D56F8">
              <w:rPr>
                <w:sz w:val="22"/>
                <w:szCs w:val="32"/>
              </w:rPr>
              <w:t>Can all nominal sizes proposed for the design series be covered by one common drawing, with all parts listed and dimensioned?</w:t>
            </w:r>
          </w:p>
        </w:tc>
        <w:tc>
          <w:tcPr>
            <w:tcW w:w="6123" w:type="dxa"/>
            <w:tcMar>
              <w:top w:w="65" w:type="dxa"/>
              <w:left w:w="65" w:type="dxa"/>
              <w:bottom w:w="65" w:type="dxa"/>
              <w:right w:w="65" w:type="dxa"/>
            </w:tcMar>
            <w:vAlign w:val="center"/>
          </w:tcPr>
          <w:p w14:paraId="26A718DE" w14:textId="77777777" w:rsidR="00242CAC" w:rsidRPr="001D56F8" w:rsidRDefault="00242CAC" w:rsidP="00242CAC">
            <w:pPr>
              <w:rPr>
                <w:sz w:val="22"/>
                <w:szCs w:val="32"/>
              </w:rPr>
            </w:pPr>
            <w:r w:rsidRPr="001D56F8">
              <w:rPr>
                <w:sz w:val="22"/>
                <w:szCs w:val="32"/>
              </w:rPr>
              <w:t>Accept when one controlled drawing can cover the complete proposed series and all parts and relevant dimensions are identified.</w:t>
            </w:r>
          </w:p>
        </w:tc>
        <w:sdt>
          <w:sdtPr>
            <w:rPr>
              <w:sz w:val="22"/>
              <w:szCs w:val="32"/>
            </w:rPr>
            <w:id w:val="1624112815"/>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7371B717" w14:textId="77777777" w:rsidR="00242CAC" w:rsidRPr="001D56F8" w:rsidRDefault="005E4A60" w:rsidP="00242CAC">
                <w:pPr>
                  <w:jc w:val="center"/>
                  <w:rPr>
                    <w:sz w:val="22"/>
                    <w:szCs w:val="32"/>
                  </w:rPr>
                </w:pPr>
                <w:r>
                  <w:rPr>
                    <w:rFonts w:ascii="MS Gothic" w:eastAsia="MS Gothic" w:hAnsi="MS Gothic" w:hint="eastAsia"/>
                    <w:sz w:val="22"/>
                    <w:szCs w:val="32"/>
                  </w:rPr>
                  <w:t>☐</w:t>
                </w:r>
              </w:p>
            </w:tc>
          </w:sdtContent>
        </w:sdt>
        <w:sdt>
          <w:sdtPr>
            <w:rPr>
              <w:sz w:val="22"/>
              <w:szCs w:val="32"/>
            </w:rPr>
            <w:id w:val="1563988546"/>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6C89E144" w14:textId="77777777" w:rsidR="00242CAC" w:rsidRPr="001D56F8" w:rsidRDefault="00242CAC" w:rsidP="00242CAC">
                <w:pPr>
                  <w:jc w:val="center"/>
                  <w:rPr>
                    <w:sz w:val="22"/>
                    <w:szCs w:val="32"/>
                  </w:rPr>
                </w:pPr>
                <w:r w:rsidRPr="00853348">
                  <w:rPr>
                    <w:rFonts w:ascii="MS Gothic" w:eastAsia="MS Gothic" w:hAnsi="MS Gothic" w:hint="eastAsia"/>
                    <w:sz w:val="22"/>
                    <w:szCs w:val="32"/>
                  </w:rPr>
                  <w:t>☐</w:t>
                </w:r>
              </w:p>
            </w:tc>
          </w:sdtContent>
        </w:sdt>
      </w:tr>
      <w:tr w:rsidR="00242CAC" w:rsidRPr="001D56F8" w14:paraId="19B2C10D" w14:textId="77777777" w:rsidTr="00242CAC">
        <w:trPr>
          <w:cantSplit/>
          <w:jc w:val="center"/>
        </w:trPr>
        <w:tc>
          <w:tcPr>
            <w:tcW w:w="567" w:type="dxa"/>
            <w:tcMar>
              <w:top w:w="65" w:type="dxa"/>
              <w:left w:w="65" w:type="dxa"/>
              <w:bottom w:w="65" w:type="dxa"/>
              <w:right w:w="65" w:type="dxa"/>
            </w:tcMar>
            <w:vAlign w:val="center"/>
          </w:tcPr>
          <w:p w14:paraId="461AAF07" w14:textId="77777777" w:rsidR="00242CAC" w:rsidRPr="001D56F8" w:rsidRDefault="00242CAC" w:rsidP="00242CAC">
            <w:pPr>
              <w:jc w:val="center"/>
              <w:rPr>
                <w:sz w:val="22"/>
                <w:szCs w:val="32"/>
              </w:rPr>
            </w:pPr>
            <w:r w:rsidRPr="001D56F8">
              <w:rPr>
                <w:sz w:val="22"/>
                <w:szCs w:val="32"/>
              </w:rPr>
              <w:t>2</w:t>
            </w:r>
          </w:p>
        </w:tc>
        <w:tc>
          <w:tcPr>
            <w:tcW w:w="1928" w:type="dxa"/>
            <w:tcMar>
              <w:top w:w="65" w:type="dxa"/>
              <w:left w:w="65" w:type="dxa"/>
              <w:bottom w:w="65" w:type="dxa"/>
              <w:right w:w="65" w:type="dxa"/>
            </w:tcMar>
            <w:vAlign w:val="center"/>
          </w:tcPr>
          <w:p w14:paraId="08B97FE8" w14:textId="77777777" w:rsidR="00242CAC" w:rsidRPr="001D56F8" w:rsidRDefault="00242CAC" w:rsidP="00242CAC">
            <w:pPr>
              <w:rPr>
                <w:sz w:val="22"/>
                <w:szCs w:val="32"/>
              </w:rPr>
            </w:pPr>
            <w:r w:rsidRPr="001D56F8">
              <w:rPr>
                <w:sz w:val="22"/>
                <w:szCs w:val="32"/>
              </w:rPr>
              <w:t>Housing configuration</w:t>
            </w:r>
          </w:p>
        </w:tc>
        <w:tc>
          <w:tcPr>
            <w:tcW w:w="4649" w:type="dxa"/>
            <w:tcMar>
              <w:top w:w="65" w:type="dxa"/>
              <w:left w:w="65" w:type="dxa"/>
              <w:bottom w:w="65" w:type="dxa"/>
              <w:right w:w="65" w:type="dxa"/>
            </w:tcMar>
            <w:vAlign w:val="center"/>
          </w:tcPr>
          <w:p w14:paraId="4F6C967C" w14:textId="77777777" w:rsidR="00242CAC" w:rsidRPr="001D56F8" w:rsidRDefault="00242CAC" w:rsidP="00242CAC">
            <w:pPr>
              <w:rPr>
                <w:sz w:val="22"/>
                <w:szCs w:val="32"/>
              </w:rPr>
            </w:pPr>
            <w:r w:rsidRPr="001D56F8">
              <w:rPr>
                <w:sz w:val="22"/>
                <w:szCs w:val="32"/>
              </w:rPr>
              <w:t>Do all proposed models use the same housing configuration with respect to concentric or eccentric geometry?</w:t>
            </w:r>
          </w:p>
        </w:tc>
        <w:tc>
          <w:tcPr>
            <w:tcW w:w="6123" w:type="dxa"/>
            <w:tcMar>
              <w:top w:w="65" w:type="dxa"/>
              <w:left w:w="65" w:type="dxa"/>
              <w:bottom w:w="65" w:type="dxa"/>
              <w:right w:w="65" w:type="dxa"/>
            </w:tcMar>
            <w:vAlign w:val="center"/>
          </w:tcPr>
          <w:p w14:paraId="13D5FD86" w14:textId="77777777" w:rsidR="00242CAC" w:rsidRPr="001D56F8" w:rsidRDefault="00242CAC" w:rsidP="00242CAC">
            <w:pPr>
              <w:rPr>
                <w:sz w:val="22"/>
                <w:szCs w:val="32"/>
              </w:rPr>
            </w:pPr>
            <w:r w:rsidRPr="001D56F8">
              <w:rPr>
                <w:sz w:val="22"/>
                <w:szCs w:val="32"/>
              </w:rPr>
              <w:t>Accept only when all models are of the same configuration. Concentric and eccentric housings shall be treated as different design series.</w:t>
            </w:r>
          </w:p>
        </w:tc>
        <w:sdt>
          <w:sdtPr>
            <w:rPr>
              <w:sz w:val="22"/>
              <w:szCs w:val="32"/>
            </w:rPr>
            <w:id w:val="-1345776444"/>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136BB56E" w14:textId="77777777" w:rsidR="00242CAC" w:rsidRPr="001D56F8" w:rsidRDefault="00242CAC" w:rsidP="00242CAC">
                <w:pPr>
                  <w:jc w:val="center"/>
                  <w:rPr>
                    <w:sz w:val="22"/>
                    <w:szCs w:val="32"/>
                  </w:rPr>
                </w:pPr>
                <w:r w:rsidRPr="00951B43">
                  <w:rPr>
                    <w:rFonts w:ascii="MS Gothic" w:eastAsia="MS Gothic" w:hAnsi="MS Gothic" w:hint="eastAsia"/>
                    <w:sz w:val="22"/>
                    <w:szCs w:val="32"/>
                  </w:rPr>
                  <w:t>☐</w:t>
                </w:r>
              </w:p>
            </w:tc>
          </w:sdtContent>
        </w:sdt>
        <w:sdt>
          <w:sdtPr>
            <w:rPr>
              <w:sz w:val="22"/>
              <w:szCs w:val="32"/>
            </w:rPr>
            <w:id w:val="778459207"/>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261BF5D5" w14:textId="77777777" w:rsidR="00242CAC" w:rsidRPr="001D56F8" w:rsidRDefault="00242CAC" w:rsidP="00242CAC">
                <w:pPr>
                  <w:jc w:val="center"/>
                  <w:rPr>
                    <w:sz w:val="22"/>
                    <w:szCs w:val="32"/>
                  </w:rPr>
                </w:pPr>
                <w:r w:rsidRPr="00853348">
                  <w:rPr>
                    <w:rFonts w:ascii="MS Gothic" w:eastAsia="MS Gothic" w:hAnsi="MS Gothic" w:hint="eastAsia"/>
                    <w:sz w:val="22"/>
                    <w:szCs w:val="32"/>
                  </w:rPr>
                  <w:t>☐</w:t>
                </w:r>
              </w:p>
            </w:tc>
          </w:sdtContent>
        </w:sdt>
      </w:tr>
      <w:tr w:rsidR="00242CAC" w:rsidRPr="001D56F8" w14:paraId="798C1C4D" w14:textId="77777777" w:rsidTr="00242CAC">
        <w:trPr>
          <w:cantSplit/>
          <w:jc w:val="center"/>
        </w:trPr>
        <w:tc>
          <w:tcPr>
            <w:tcW w:w="567" w:type="dxa"/>
            <w:tcMar>
              <w:top w:w="65" w:type="dxa"/>
              <w:left w:w="65" w:type="dxa"/>
              <w:bottom w:w="65" w:type="dxa"/>
              <w:right w:w="65" w:type="dxa"/>
            </w:tcMar>
            <w:vAlign w:val="center"/>
          </w:tcPr>
          <w:p w14:paraId="79A4CCF0" w14:textId="77777777" w:rsidR="00242CAC" w:rsidRPr="001D56F8" w:rsidRDefault="00242CAC" w:rsidP="00242CAC">
            <w:pPr>
              <w:jc w:val="center"/>
              <w:rPr>
                <w:sz w:val="22"/>
                <w:szCs w:val="32"/>
              </w:rPr>
            </w:pPr>
            <w:r w:rsidRPr="001D56F8">
              <w:rPr>
                <w:sz w:val="22"/>
                <w:szCs w:val="32"/>
              </w:rPr>
              <w:t>3</w:t>
            </w:r>
          </w:p>
        </w:tc>
        <w:tc>
          <w:tcPr>
            <w:tcW w:w="1928" w:type="dxa"/>
            <w:tcMar>
              <w:top w:w="65" w:type="dxa"/>
              <w:left w:w="65" w:type="dxa"/>
              <w:bottom w:w="65" w:type="dxa"/>
              <w:right w:w="65" w:type="dxa"/>
            </w:tcMar>
            <w:vAlign w:val="center"/>
          </w:tcPr>
          <w:p w14:paraId="4256FC63" w14:textId="77777777" w:rsidR="00242CAC" w:rsidRPr="001D56F8" w:rsidRDefault="00242CAC" w:rsidP="00242CAC">
            <w:pPr>
              <w:rPr>
                <w:sz w:val="22"/>
                <w:szCs w:val="32"/>
              </w:rPr>
            </w:pPr>
            <w:r w:rsidRPr="001D56F8">
              <w:rPr>
                <w:sz w:val="22"/>
                <w:szCs w:val="32"/>
              </w:rPr>
              <w:t>Flame arrester element construction</w:t>
            </w:r>
          </w:p>
        </w:tc>
        <w:tc>
          <w:tcPr>
            <w:tcW w:w="4649" w:type="dxa"/>
            <w:tcMar>
              <w:top w:w="65" w:type="dxa"/>
              <w:left w:w="65" w:type="dxa"/>
              <w:bottom w:w="65" w:type="dxa"/>
              <w:right w:w="65" w:type="dxa"/>
            </w:tcMar>
            <w:vAlign w:val="center"/>
          </w:tcPr>
          <w:p w14:paraId="1E1D3CB5" w14:textId="77777777" w:rsidR="00242CAC" w:rsidRPr="001D56F8" w:rsidRDefault="00242CAC" w:rsidP="00242CAC">
            <w:pPr>
              <w:rPr>
                <w:sz w:val="22"/>
                <w:szCs w:val="32"/>
              </w:rPr>
            </w:pPr>
            <w:r w:rsidRPr="001D56F8">
              <w:rPr>
                <w:sz w:val="22"/>
                <w:szCs w:val="32"/>
              </w:rPr>
              <w:t>Do the flame arrester elements of all proposed models have identical construction features?</w:t>
            </w:r>
          </w:p>
        </w:tc>
        <w:tc>
          <w:tcPr>
            <w:tcW w:w="6123" w:type="dxa"/>
            <w:tcMar>
              <w:top w:w="65" w:type="dxa"/>
              <w:left w:w="65" w:type="dxa"/>
              <w:bottom w:w="65" w:type="dxa"/>
              <w:right w:w="65" w:type="dxa"/>
            </w:tcMar>
            <w:vAlign w:val="center"/>
          </w:tcPr>
          <w:p w14:paraId="62AE9DF4" w14:textId="77777777" w:rsidR="00242CAC" w:rsidRPr="001D56F8" w:rsidRDefault="00242CAC" w:rsidP="00242CAC">
            <w:pPr>
              <w:rPr>
                <w:sz w:val="22"/>
                <w:szCs w:val="32"/>
              </w:rPr>
            </w:pPr>
            <w:r w:rsidRPr="001D56F8">
              <w:rPr>
                <w:sz w:val="22"/>
                <w:szCs w:val="32"/>
              </w:rPr>
              <w:t>Accept when the construction principle and features of the flame arrester element are identical across the proposed series.</w:t>
            </w:r>
          </w:p>
        </w:tc>
        <w:sdt>
          <w:sdtPr>
            <w:rPr>
              <w:sz w:val="22"/>
              <w:szCs w:val="32"/>
            </w:rPr>
            <w:id w:val="173387830"/>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5FEE8E4D" w14:textId="77777777" w:rsidR="00242CAC" w:rsidRPr="001D56F8" w:rsidRDefault="00242CAC" w:rsidP="00242CAC">
                <w:pPr>
                  <w:jc w:val="center"/>
                  <w:rPr>
                    <w:sz w:val="22"/>
                    <w:szCs w:val="32"/>
                  </w:rPr>
                </w:pPr>
                <w:r w:rsidRPr="00951B43">
                  <w:rPr>
                    <w:rFonts w:ascii="MS Gothic" w:eastAsia="MS Gothic" w:hAnsi="MS Gothic" w:hint="eastAsia"/>
                    <w:sz w:val="22"/>
                    <w:szCs w:val="32"/>
                  </w:rPr>
                  <w:t>☐</w:t>
                </w:r>
              </w:p>
            </w:tc>
          </w:sdtContent>
        </w:sdt>
        <w:sdt>
          <w:sdtPr>
            <w:rPr>
              <w:sz w:val="22"/>
              <w:szCs w:val="32"/>
            </w:rPr>
            <w:id w:val="367960171"/>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5DD6190E" w14:textId="77777777" w:rsidR="00242CAC" w:rsidRPr="001D56F8" w:rsidRDefault="00242CAC" w:rsidP="00242CAC">
                <w:pPr>
                  <w:jc w:val="center"/>
                  <w:rPr>
                    <w:sz w:val="22"/>
                    <w:szCs w:val="32"/>
                  </w:rPr>
                </w:pPr>
                <w:r w:rsidRPr="00853348">
                  <w:rPr>
                    <w:rFonts w:ascii="MS Gothic" w:eastAsia="MS Gothic" w:hAnsi="MS Gothic" w:hint="eastAsia"/>
                    <w:sz w:val="22"/>
                    <w:szCs w:val="32"/>
                  </w:rPr>
                  <w:t>☐</w:t>
                </w:r>
              </w:p>
            </w:tc>
          </w:sdtContent>
        </w:sdt>
      </w:tr>
      <w:tr w:rsidR="00242CAC" w:rsidRPr="001D56F8" w14:paraId="45D337BF" w14:textId="77777777" w:rsidTr="00242CAC">
        <w:trPr>
          <w:cantSplit/>
          <w:jc w:val="center"/>
        </w:trPr>
        <w:tc>
          <w:tcPr>
            <w:tcW w:w="567" w:type="dxa"/>
            <w:tcMar>
              <w:top w:w="65" w:type="dxa"/>
              <w:left w:w="65" w:type="dxa"/>
              <w:bottom w:w="65" w:type="dxa"/>
              <w:right w:w="65" w:type="dxa"/>
            </w:tcMar>
            <w:vAlign w:val="center"/>
          </w:tcPr>
          <w:p w14:paraId="0F26BD99" w14:textId="77777777" w:rsidR="00242CAC" w:rsidRPr="001D56F8" w:rsidRDefault="00242CAC" w:rsidP="00242CAC">
            <w:pPr>
              <w:jc w:val="center"/>
              <w:rPr>
                <w:sz w:val="22"/>
                <w:szCs w:val="32"/>
              </w:rPr>
            </w:pPr>
            <w:r w:rsidRPr="001D56F8">
              <w:rPr>
                <w:sz w:val="22"/>
                <w:szCs w:val="32"/>
              </w:rPr>
              <w:t>4</w:t>
            </w:r>
          </w:p>
        </w:tc>
        <w:tc>
          <w:tcPr>
            <w:tcW w:w="1928" w:type="dxa"/>
            <w:tcMar>
              <w:top w:w="65" w:type="dxa"/>
              <w:left w:w="65" w:type="dxa"/>
              <w:bottom w:w="65" w:type="dxa"/>
              <w:right w:w="65" w:type="dxa"/>
            </w:tcMar>
            <w:vAlign w:val="center"/>
          </w:tcPr>
          <w:p w14:paraId="5C44415D" w14:textId="77777777" w:rsidR="00242CAC" w:rsidRPr="001D56F8" w:rsidRDefault="00242CAC" w:rsidP="00242CAC">
            <w:pPr>
              <w:rPr>
                <w:sz w:val="22"/>
                <w:szCs w:val="32"/>
              </w:rPr>
            </w:pPr>
            <w:r w:rsidRPr="001D56F8">
              <w:rPr>
                <w:sz w:val="22"/>
                <w:szCs w:val="32"/>
              </w:rPr>
              <w:t>Quenching gaps</w:t>
            </w:r>
          </w:p>
        </w:tc>
        <w:tc>
          <w:tcPr>
            <w:tcW w:w="4649" w:type="dxa"/>
            <w:tcMar>
              <w:top w:w="65" w:type="dxa"/>
              <w:left w:w="65" w:type="dxa"/>
              <w:bottom w:w="65" w:type="dxa"/>
              <w:right w:w="65" w:type="dxa"/>
            </w:tcMar>
            <w:vAlign w:val="center"/>
          </w:tcPr>
          <w:p w14:paraId="418C8220" w14:textId="77777777" w:rsidR="00242CAC" w:rsidRPr="001D56F8" w:rsidRDefault="00242CAC" w:rsidP="00242CAC">
            <w:pPr>
              <w:rPr>
                <w:sz w:val="22"/>
                <w:szCs w:val="32"/>
              </w:rPr>
            </w:pPr>
            <w:r w:rsidRPr="001D56F8">
              <w:rPr>
                <w:sz w:val="22"/>
                <w:szCs w:val="32"/>
              </w:rPr>
              <w:t>Are the quenching-gap features, including the specified dimensions and tolerances, identical for all proposed models?</w:t>
            </w:r>
          </w:p>
        </w:tc>
        <w:tc>
          <w:tcPr>
            <w:tcW w:w="6123" w:type="dxa"/>
            <w:tcMar>
              <w:top w:w="65" w:type="dxa"/>
              <w:left w:w="65" w:type="dxa"/>
              <w:bottom w:w="65" w:type="dxa"/>
              <w:right w:w="65" w:type="dxa"/>
            </w:tcMar>
            <w:vAlign w:val="center"/>
          </w:tcPr>
          <w:p w14:paraId="4668CA56" w14:textId="77777777" w:rsidR="00242CAC" w:rsidRPr="001D56F8" w:rsidRDefault="00242CAC" w:rsidP="00242CAC">
            <w:pPr>
              <w:rPr>
                <w:sz w:val="22"/>
                <w:szCs w:val="32"/>
              </w:rPr>
            </w:pPr>
            <w:r w:rsidRPr="001D56F8">
              <w:rPr>
                <w:sz w:val="22"/>
                <w:szCs w:val="32"/>
              </w:rPr>
              <w:t>Accept when the quenching gaps are identical as required by Clause 7.2. Relevant gap dimensions/tolerances shall be shown in the technical documentation.</w:t>
            </w:r>
          </w:p>
        </w:tc>
        <w:sdt>
          <w:sdtPr>
            <w:rPr>
              <w:sz w:val="22"/>
              <w:szCs w:val="32"/>
            </w:rPr>
            <w:id w:val="-522480152"/>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3D270E5F" w14:textId="77777777" w:rsidR="00242CAC" w:rsidRPr="001D56F8" w:rsidRDefault="00242CAC" w:rsidP="00242CAC">
                <w:pPr>
                  <w:jc w:val="center"/>
                  <w:rPr>
                    <w:sz w:val="22"/>
                    <w:szCs w:val="32"/>
                  </w:rPr>
                </w:pPr>
                <w:r w:rsidRPr="00951B43">
                  <w:rPr>
                    <w:rFonts w:ascii="MS Gothic" w:eastAsia="MS Gothic" w:hAnsi="MS Gothic" w:hint="eastAsia"/>
                    <w:sz w:val="22"/>
                    <w:szCs w:val="32"/>
                  </w:rPr>
                  <w:t>☐</w:t>
                </w:r>
              </w:p>
            </w:tc>
          </w:sdtContent>
        </w:sdt>
        <w:sdt>
          <w:sdtPr>
            <w:rPr>
              <w:sz w:val="22"/>
              <w:szCs w:val="32"/>
            </w:rPr>
            <w:id w:val="1405794314"/>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1E5F3725" w14:textId="77777777" w:rsidR="00242CAC" w:rsidRPr="001D56F8" w:rsidRDefault="00242CAC" w:rsidP="00242CAC">
                <w:pPr>
                  <w:jc w:val="center"/>
                  <w:rPr>
                    <w:sz w:val="22"/>
                    <w:szCs w:val="32"/>
                  </w:rPr>
                </w:pPr>
                <w:r w:rsidRPr="00853348">
                  <w:rPr>
                    <w:rFonts w:ascii="MS Gothic" w:eastAsia="MS Gothic" w:hAnsi="MS Gothic" w:hint="eastAsia"/>
                    <w:sz w:val="22"/>
                    <w:szCs w:val="32"/>
                  </w:rPr>
                  <w:t>☐</w:t>
                </w:r>
              </w:p>
            </w:tc>
          </w:sdtContent>
        </w:sdt>
      </w:tr>
      <w:tr w:rsidR="00242CAC" w:rsidRPr="001D56F8" w14:paraId="5ADCDBE9" w14:textId="77777777" w:rsidTr="00242CAC">
        <w:trPr>
          <w:cantSplit/>
          <w:jc w:val="center"/>
        </w:trPr>
        <w:tc>
          <w:tcPr>
            <w:tcW w:w="567" w:type="dxa"/>
            <w:tcMar>
              <w:top w:w="65" w:type="dxa"/>
              <w:left w:w="65" w:type="dxa"/>
              <w:bottom w:w="65" w:type="dxa"/>
              <w:right w:w="65" w:type="dxa"/>
            </w:tcMar>
            <w:vAlign w:val="center"/>
          </w:tcPr>
          <w:p w14:paraId="530E61CB" w14:textId="77777777" w:rsidR="00242CAC" w:rsidRPr="001D56F8" w:rsidRDefault="00242CAC" w:rsidP="00242CAC">
            <w:pPr>
              <w:jc w:val="center"/>
              <w:rPr>
                <w:sz w:val="22"/>
                <w:szCs w:val="32"/>
              </w:rPr>
            </w:pPr>
            <w:r w:rsidRPr="001D56F8">
              <w:rPr>
                <w:sz w:val="22"/>
                <w:szCs w:val="32"/>
              </w:rPr>
              <w:t>5</w:t>
            </w:r>
          </w:p>
        </w:tc>
        <w:tc>
          <w:tcPr>
            <w:tcW w:w="1928" w:type="dxa"/>
            <w:tcMar>
              <w:top w:w="65" w:type="dxa"/>
              <w:left w:w="65" w:type="dxa"/>
              <w:bottom w:w="65" w:type="dxa"/>
              <w:right w:w="65" w:type="dxa"/>
            </w:tcMar>
            <w:vAlign w:val="center"/>
          </w:tcPr>
          <w:p w14:paraId="69CA868E" w14:textId="77777777" w:rsidR="00242CAC" w:rsidRPr="001D56F8" w:rsidRDefault="00242CAC" w:rsidP="00242CAC">
            <w:pPr>
              <w:rPr>
                <w:sz w:val="22"/>
                <w:szCs w:val="32"/>
              </w:rPr>
            </w:pPr>
            <w:r w:rsidRPr="001D56F8">
              <w:rPr>
                <w:sz w:val="22"/>
                <w:szCs w:val="32"/>
              </w:rPr>
              <w:t>Flame-quenching path</w:t>
            </w:r>
          </w:p>
        </w:tc>
        <w:tc>
          <w:tcPr>
            <w:tcW w:w="4649" w:type="dxa"/>
            <w:tcMar>
              <w:top w:w="65" w:type="dxa"/>
              <w:left w:w="65" w:type="dxa"/>
              <w:bottom w:w="65" w:type="dxa"/>
              <w:right w:w="65" w:type="dxa"/>
            </w:tcMar>
            <w:vAlign w:val="center"/>
          </w:tcPr>
          <w:p w14:paraId="1998DF50" w14:textId="77777777" w:rsidR="00242CAC" w:rsidRPr="001D56F8" w:rsidRDefault="00242CAC" w:rsidP="00242CAC">
            <w:pPr>
              <w:rPr>
                <w:sz w:val="22"/>
                <w:szCs w:val="32"/>
              </w:rPr>
            </w:pPr>
            <w:r w:rsidRPr="001D56F8">
              <w:rPr>
                <w:sz w:val="22"/>
                <w:szCs w:val="32"/>
              </w:rPr>
              <w:t>Is the flame-quenching path based on the same design, with any increase in path length occurring only as permitted when diameter increases?</w:t>
            </w:r>
          </w:p>
        </w:tc>
        <w:tc>
          <w:tcPr>
            <w:tcW w:w="6123" w:type="dxa"/>
            <w:tcMar>
              <w:top w:w="65" w:type="dxa"/>
              <w:left w:w="65" w:type="dxa"/>
              <w:bottom w:w="65" w:type="dxa"/>
              <w:right w:w="65" w:type="dxa"/>
            </w:tcMar>
            <w:vAlign w:val="center"/>
          </w:tcPr>
          <w:p w14:paraId="18BBBEDB" w14:textId="77777777" w:rsidR="00242CAC" w:rsidRPr="001D56F8" w:rsidRDefault="00242CAC" w:rsidP="00242CAC">
            <w:pPr>
              <w:rPr>
                <w:sz w:val="22"/>
                <w:szCs w:val="32"/>
              </w:rPr>
            </w:pPr>
            <w:r w:rsidRPr="001D56F8">
              <w:rPr>
                <w:sz w:val="22"/>
                <w:szCs w:val="32"/>
              </w:rPr>
              <w:t>Accept when the same design principle is used. If path length increases with diameter, each intermediate size between tested sizes shall have the same path length as the larger tested size.</w:t>
            </w:r>
          </w:p>
        </w:tc>
        <w:sdt>
          <w:sdtPr>
            <w:rPr>
              <w:sz w:val="22"/>
              <w:szCs w:val="32"/>
            </w:rPr>
            <w:id w:val="-355206207"/>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75959346" w14:textId="77777777" w:rsidR="00242CAC" w:rsidRPr="001D56F8" w:rsidRDefault="00242CAC" w:rsidP="00242CAC">
                <w:pPr>
                  <w:jc w:val="center"/>
                  <w:rPr>
                    <w:sz w:val="22"/>
                    <w:szCs w:val="32"/>
                  </w:rPr>
                </w:pPr>
                <w:r>
                  <w:rPr>
                    <w:rFonts w:ascii="MS Gothic" w:eastAsia="MS Gothic" w:hAnsi="MS Gothic" w:hint="eastAsia"/>
                    <w:sz w:val="22"/>
                    <w:szCs w:val="32"/>
                  </w:rPr>
                  <w:t>☐</w:t>
                </w:r>
              </w:p>
            </w:tc>
          </w:sdtContent>
        </w:sdt>
        <w:sdt>
          <w:sdtPr>
            <w:rPr>
              <w:sz w:val="22"/>
              <w:szCs w:val="32"/>
            </w:rPr>
            <w:id w:val="-1943369176"/>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063FDBB8" w14:textId="77777777" w:rsidR="00242CAC" w:rsidRPr="001D56F8" w:rsidRDefault="00242CAC" w:rsidP="00242CAC">
                <w:pPr>
                  <w:jc w:val="center"/>
                  <w:rPr>
                    <w:sz w:val="22"/>
                    <w:szCs w:val="32"/>
                  </w:rPr>
                </w:pPr>
                <w:r w:rsidRPr="00853348">
                  <w:rPr>
                    <w:rFonts w:ascii="MS Gothic" w:eastAsia="MS Gothic" w:hAnsi="MS Gothic" w:hint="eastAsia"/>
                    <w:sz w:val="22"/>
                    <w:szCs w:val="32"/>
                  </w:rPr>
                  <w:t>☐</w:t>
                </w:r>
              </w:p>
            </w:tc>
          </w:sdtContent>
        </w:sdt>
      </w:tr>
      <w:tr w:rsidR="008F05E2" w:rsidRPr="001D56F8" w14:paraId="7A8EB620" w14:textId="77777777">
        <w:trPr>
          <w:cantSplit/>
          <w:jc w:val="center"/>
        </w:trPr>
        <w:tc>
          <w:tcPr>
            <w:tcW w:w="567" w:type="dxa"/>
            <w:tcMar>
              <w:top w:w="65" w:type="dxa"/>
              <w:left w:w="65" w:type="dxa"/>
              <w:bottom w:w="65" w:type="dxa"/>
              <w:right w:w="65" w:type="dxa"/>
            </w:tcMar>
            <w:vAlign w:val="center"/>
          </w:tcPr>
          <w:p w14:paraId="65ED7114" w14:textId="77777777" w:rsidR="008F05E2" w:rsidRPr="001D56F8" w:rsidRDefault="00000000">
            <w:pPr>
              <w:jc w:val="center"/>
              <w:rPr>
                <w:sz w:val="22"/>
                <w:szCs w:val="32"/>
              </w:rPr>
            </w:pPr>
            <w:r w:rsidRPr="001D56F8">
              <w:rPr>
                <w:sz w:val="22"/>
                <w:szCs w:val="32"/>
              </w:rPr>
              <w:lastRenderedPageBreak/>
              <w:t>6</w:t>
            </w:r>
          </w:p>
        </w:tc>
        <w:tc>
          <w:tcPr>
            <w:tcW w:w="1928" w:type="dxa"/>
            <w:tcMar>
              <w:top w:w="65" w:type="dxa"/>
              <w:left w:w="65" w:type="dxa"/>
              <w:bottom w:w="65" w:type="dxa"/>
              <w:right w:w="65" w:type="dxa"/>
            </w:tcMar>
            <w:vAlign w:val="center"/>
          </w:tcPr>
          <w:p w14:paraId="6117FAA2" w14:textId="77777777" w:rsidR="008F05E2" w:rsidRPr="001D56F8" w:rsidRDefault="00000000">
            <w:pPr>
              <w:rPr>
                <w:sz w:val="22"/>
                <w:szCs w:val="32"/>
              </w:rPr>
            </w:pPr>
            <w:r w:rsidRPr="001D56F8">
              <w:rPr>
                <w:sz w:val="22"/>
                <w:szCs w:val="32"/>
              </w:rPr>
              <w:t>Unlisted design differences</w:t>
            </w:r>
          </w:p>
        </w:tc>
        <w:tc>
          <w:tcPr>
            <w:tcW w:w="4649" w:type="dxa"/>
            <w:tcMar>
              <w:top w:w="65" w:type="dxa"/>
              <w:left w:w="65" w:type="dxa"/>
              <w:bottom w:w="65" w:type="dxa"/>
              <w:right w:w="65" w:type="dxa"/>
            </w:tcMar>
            <w:vAlign w:val="center"/>
          </w:tcPr>
          <w:p w14:paraId="6FF7080B" w14:textId="77777777" w:rsidR="008F05E2" w:rsidRPr="001D56F8" w:rsidRDefault="00000000">
            <w:pPr>
              <w:rPr>
                <w:sz w:val="22"/>
                <w:szCs w:val="32"/>
              </w:rPr>
            </w:pPr>
            <w:r w:rsidRPr="001D56F8">
              <w:rPr>
                <w:sz w:val="22"/>
                <w:szCs w:val="32"/>
              </w:rPr>
              <w:t>Are there no other changes in the flame arrester element or housing that would prevent the models from being represented by the common drawing and identical element-construction requirements above?</w:t>
            </w:r>
          </w:p>
        </w:tc>
        <w:tc>
          <w:tcPr>
            <w:tcW w:w="6123" w:type="dxa"/>
            <w:tcMar>
              <w:top w:w="65" w:type="dxa"/>
              <w:left w:w="65" w:type="dxa"/>
              <w:bottom w:w="65" w:type="dxa"/>
              <w:right w:w="65" w:type="dxa"/>
            </w:tcMar>
            <w:vAlign w:val="center"/>
          </w:tcPr>
          <w:p w14:paraId="72FC7D1D" w14:textId="77777777" w:rsidR="008F05E2" w:rsidRPr="001D56F8" w:rsidRDefault="00000000">
            <w:pPr>
              <w:rPr>
                <w:sz w:val="22"/>
                <w:szCs w:val="32"/>
              </w:rPr>
            </w:pPr>
            <w:r w:rsidRPr="001D56F8">
              <w:rPr>
                <w:sz w:val="22"/>
                <w:szCs w:val="32"/>
              </w:rPr>
              <w:t>Accept when no additional construction difference conflicts with Items 1–5. Any difference shall be described for technical review; this question is a practical screening check, not an additional standalone requirement stated in Table 6.</w:t>
            </w:r>
          </w:p>
        </w:tc>
        <w:sdt>
          <w:sdtPr>
            <w:rPr>
              <w:sz w:val="22"/>
              <w:szCs w:val="32"/>
            </w:rPr>
            <w:id w:val="-2024458932"/>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5B58A9C2" w14:textId="77777777" w:rsidR="008F05E2" w:rsidRPr="001D56F8" w:rsidRDefault="00A4190D">
                <w:pPr>
                  <w:jc w:val="center"/>
                  <w:rPr>
                    <w:sz w:val="22"/>
                    <w:szCs w:val="32"/>
                  </w:rPr>
                </w:pPr>
                <w:r>
                  <w:rPr>
                    <w:rFonts w:ascii="MS Gothic" w:eastAsia="MS Gothic" w:hAnsi="MS Gothic" w:hint="eastAsia"/>
                    <w:sz w:val="22"/>
                    <w:szCs w:val="32"/>
                  </w:rPr>
                  <w:t>☐</w:t>
                </w:r>
              </w:p>
            </w:tc>
          </w:sdtContent>
        </w:sdt>
        <w:sdt>
          <w:sdtPr>
            <w:rPr>
              <w:sz w:val="22"/>
              <w:szCs w:val="32"/>
            </w:rPr>
            <w:id w:val="1412203788"/>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73756ACA" w14:textId="77777777" w:rsidR="008F05E2" w:rsidRPr="001D56F8" w:rsidRDefault="00242CAC">
                <w:pPr>
                  <w:jc w:val="center"/>
                  <w:rPr>
                    <w:sz w:val="22"/>
                    <w:szCs w:val="32"/>
                  </w:rPr>
                </w:pPr>
                <w:r>
                  <w:rPr>
                    <w:rFonts w:ascii="MS Gothic" w:eastAsia="MS Gothic" w:hAnsi="MS Gothic" w:hint="eastAsia"/>
                    <w:sz w:val="22"/>
                    <w:szCs w:val="32"/>
                  </w:rPr>
                  <w:t>☐</w:t>
                </w:r>
              </w:p>
            </w:tc>
          </w:sdtContent>
        </w:sdt>
      </w:tr>
      <w:tr w:rsidR="00A4190D" w:rsidRPr="001D56F8" w14:paraId="3C21D740" w14:textId="77777777">
        <w:trPr>
          <w:cantSplit/>
          <w:jc w:val="center"/>
        </w:trPr>
        <w:tc>
          <w:tcPr>
            <w:tcW w:w="567" w:type="dxa"/>
            <w:tcMar>
              <w:top w:w="65" w:type="dxa"/>
              <w:left w:w="65" w:type="dxa"/>
              <w:bottom w:w="65" w:type="dxa"/>
              <w:right w:w="65" w:type="dxa"/>
            </w:tcMar>
            <w:vAlign w:val="center"/>
          </w:tcPr>
          <w:p w14:paraId="4FEDD572" w14:textId="77777777" w:rsidR="00A4190D" w:rsidRPr="001D56F8" w:rsidRDefault="00A4190D" w:rsidP="00A4190D">
            <w:pPr>
              <w:jc w:val="center"/>
              <w:rPr>
                <w:sz w:val="22"/>
                <w:szCs w:val="32"/>
              </w:rPr>
            </w:pPr>
            <w:r>
              <w:rPr>
                <w:sz w:val="22"/>
                <w:szCs w:val="32"/>
              </w:rPr>
              <w:t>7</w:t>
            </w:r>
          </w:p>
        </w:tc>
        <w:tc>
          <w:tcPr>
            <w:tcW w:w="1928" w:type="dxa"/>
            <w:tcMar>
              <w:top w:w="65" w:type="dxa"/>
              <w:left w:w="65" w:type="dxa"/>
              <w:bottom w:w="65" w:type="dxa"/>
              <w:right w:w="65" w:type="dxa"/>
            </w:tcMar>
            <w:vAlign w:val="center"/>
          </w:tcPr>
          <w:p w14:paraId="72225EF0" w14:textId="77777777" w:rsidR="00854E0A" w:rsidRDefault="00000000">
            <w:r>
              <w:t>Nominal-size grouping according to Table 6</w:t>
            </w:r>
          </w:p>
        </w:tc>
        <w:tc>
          <w:tcPr>
            <w:tcW w:w="4649" w:type="dxa"/>
            <w:tcMar>
              <w:top w:w="65" w:type="dxa"/>
              <w:left w:w="65" w:type="dxa"/>
              <w:bottom w:w="65" w:type="dxa"/>
              <w:right w:w="65" w:type="dxa"/>
            </w:tcMar>
            <w:vAlign w:val="center"/>
          </w:tcPr>
          <w:p w14:paraId="2BA105F0" w14:textId="77777777" w:rsidR="00854E0A" w:rsidRDefault="00000000">
            <w:r>
              <w:t>Are the models proposed for the same in-line design series within a maximum of four consecutive nominal sizes according to Table 6 of ISO/IEC 80079-49:2024?</w:t>
            </w:r>
          </w:p>
        </w:tc>
        <w:tc>
          <w:tcPr>
            <w:tcW w:w="6123" w:type="dxa"/>
            <w:tcMar>
              <w:top w:w="65" w:type="dxa"/>
              <w:left w:w="65" w:type="dxa"/>
              <w:bottom w:w="65" w:type="dxa"/>
              <w:right w:w="65" w:type="dxa"/>
            </w:tcMar>
            <w:vAlign w:val="center"/>
          </w:tcPr>
          <w:p w14:paraId="5B6D9FA1" w14:textId="77777777" w:rsidR="00854E0A" w:rsidRDefault="00000000">
            <w:r>
              <w:t>Accept when the proposed design series contains a maximum of four consecutive nominal sizes according to Table 6, even if one or more intermediate sizes are not included in the proposed model range.</w:t>
            </w:r>
          </w:p>
        </w:tc>
        <w:sdt>
          <w:sdtPr>
            <w:rPr>
              <w:sz w:val="22"/>
              <w:szCs w:val="32"/>
            </w:rPr>
            <w:id w:val="-160243632"/>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1791BC5B" w14:textId="77777777" w:rsidR="00A4190D" w:rsidRDefault="00A4190D" w:rsidP="00A4190D">
                <w:pPr>
                  <w:jc w:val="center"/>
                  <w:rPr>
                    <w:sz w:val="22"/>
                    <w:szCs w:val="32"/>
                  </w:rPr>
                </w:pPr>
                <w:r>
                  <w:rPr>
                    <w:rFonts w:ascii="MS Gothic" w:eastAsia="MS Gothic" w:hAnsi="MS Gothic" w:hint="eastAsia"/>
                    <w:sz w:val="22"/>
                    <w:szCs w:val="32"/>
                  </w:rPr>
                  <w:t>☐</w:t>
                </w:r>
              </w:p>
            </w:tc>
          </w:sdtContent>
        </w:sdt>
        <w:sdt>
          <w:sdtPr>
            <w:rPr>
              <w:sz w:val="22"/>
              <w:szCs w:val="32"/>
            </w:rPr>
            <w:id w:val="-757593926"/>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4CF3B2DE" w14:textId="77777777" w:rsidR="00A4190D" w:rsidRDefault="00A4190D" w:rsidP="00A4190D">
                <w:pPr>
                  <w:jc w:val="center"/>
                  <w:rPr>
                    <w:sz w:val="22"/>
                    <w:szCs w:val="32"/>
                  </w:rPr>
                </w:pPr>
                <w:r>
                  <w:rPr>
                    <w:rFonts w:ascii="MS Gothic" w:eastAsia="MS Gothic" w:hAnsi="MS Gothic" w:hint="eastAsia"/>
                    <w:sz w:val="22"/>
                    <w:szCs w:val="32"/>
                  </w:rPr>
                  <w:t>☐</w:t>
                </w:r>
              </w:p>
            </w:tc>
          </w:sdtContent>
        </w:sdt>
      </w:tr>
      <w:tr w:rsidR="00A4190D" w:rsidRPr="001D56F8" w14:paraId="4968D332" w14:textId="77777777">
        <w:trPr>
          <w:cantSplit/>
          <w:jc w:val="center"/>
        </w:trPr>
        <w:tc>
          <w:tcPr>
            <w:tcW w:w="567" w:type="dxa"/>
            <w:tcMar>
              <w:top w:w="65" w:type="dxa"/>
              <w:left w:w="65" w:type="dxa"/>
              <w:bottom w:w="65" w:type="dxa"/>
              <w:right w:w="65" w:type="dxa"/>
            </w:tcMar>
            <w:vAlign w:val="center"/>
          </w:tcPr>
          <w:p w14:paraId="794B7B9A" w14:textId="77777777" w:rsidR="00A4190D" w:rsidRPr="001D56F8" w:rsidRDefault="00A4190D" w:rsidP="00A4190D">
            <w:pPr>
              <w:jc w:val="center"/>
              <w:rPr>
                <w:sz w:val="22"/>
                <w:szCs w:val="32"/>
              </w:rPr>
            </w:pPr>
            <w:r>
              <w:rPr>
                <w:sz w:val="22"/>
                <w:szCs w:val="32"/>
              </w:rPr>
              <w:t>8</w:t>
            </w:r>
          </w:p>
        </w:tc>
        <w:tc>
          <w:tcPr>
            <w:tcW w:w="1928" w:type="dxa"/>
            <w:tcMar>
              <w:top w:w="65" w:type="dxa"/>
              <w:left w:w="65" w:type="dxa"/>
              <w:bottom w:w="65" w:type="dxa"/>
              <w:right w:w="65" w:type="dxa"/>
            </w:tcMar>
            <w:vAlign w:val="center"/>
          </w:tcPr>
          <w:p w14:paraId="5FD1BC7A" w14:textId="77777777" w:rsidR="00854E0A" w:rsidRDefault="00000000">
            <w:r>
              <w:t>Au and Ap design data</w:t>
            </w:r>
          </w:p>
        </w:tc>
        <w:tc>
          <w:tcPr>
            <w:tcW w:w="4649" w:type="dxa"/>
            <w:tcMar>
              <w:top w:w="65" w:type="dxa"/>
              <w:left w:w="65" w:type="dxa"/>
              <w:bottom w:w="65" w:type="dxa"/>
              <w:right w:w="65" w:type="dxa"/>
            </w:tcMar>
            <w:vAlign w:val="center"/>
          </w:tcPr>
          <w:p w14:paraId="0C388624" w14:textId="77777777" w:rsidR="00854E0A" w:rsidRDefault="00000000">
            <w:r>
              <w:t>Have the Au and Ap values for each applicable model proposed for the same in-line design series been provided in the Model Information Form?</w:t>
            </w:r>
          </w:p>
        </w:tc>
        <w:tc>
          <w:tcPr>
            <w:tcW w:w="6123" w:type="dxa"/>
            <w:tcMar>
              <w:top w:w="65" w:type="dxa"/>
              <w:left w:w="65" w:type="dxa"/>
              <w:bottom w:w="65" w:type="dxa"/>
              <w:right w:w="65" w:type="dxa"/>
            </w:tcMar>
            <w:vAlign w:val="center"/>
          </w:tcPr>
          <w:p w14:paraId="6F7EC32E" w14:textId="77777777" w:rsidR="00854E0A" w:rsidRDefault="00000000">
            <w:r>
              <w:t xml:space="preserve">Accept when Au and Ap are provided for each applicable model so that </w:t>
            </w:r>
            <w:proofErr w:type="spellStart"/>
            <w:r>
              <w:t>ConformEx</w:t>
            </w:r>
            <w:proofErr w:type="spellEnd"/>
            <w:r>
              <w:t xml:space="preserve"> can calculate RA = Au / Ap and verify the ±10% design-series criterion of Clause 7.2.</w:t>
            </w:r>
            <w:r>
              <w:br/>
            </w:r>
            <w:r>
              <w:br/>
              <w:t>Au = effective open area of the flame arrester element on the protected side.</w:t>
            </w:r>
            <w:r>
              <w:br/>
              <w:t>Ap = nominal cross-sectional area of the flame arrester connection.</w:t>
            </w:r>
          </w:p>
        </w:tc>
        <w:sdt>
          <w:sdtPr>
            <w:rPr>
              <w:sz w:val="22"/>
              <w:szCs w:val="32"/>
            </w:rPr>
            <w:id w:val="1331096474"/>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6D12AD13" w14:textId="77777777" w:rsidR="00A4190D" w:rsidRDefault="00A4190D" w:rsidP="00A4190D">
                <w:pPr>
                  <w:jc w:val="center"/>
                  <w:rPr>
                    <w:sz w:val="22"/>
                    <w:szCs w:val="32"/>
                  </w:rPr>
                </w:pPr>
                <w:r>
                  <w:rPr>
                    <w:rFonts w:ascii="MS Gothic" w:eastAsia="MS Gothic" w:hAnsi="MS Gothic" w:hint="eastAsia"/>
                    <w:sz w:val="22"/>
                    <w:szCs w:val="32"/>
                  </w:rPr>
                  <w:t>☐</w:t>
                </w:r>
              </w:p>
            </w:tc>
          </w:sdtContent>
        </w:sdt>
        <w:sdt>
          <w:sdtPr>
            <w:rPr>
              <w:sz w:val="22"/>
              <w:szCs w:val="32"/>
            </w:rPr>
            <w:id w:val="1458842342"/>
            <w14:checkbox>
              <w14:checked w14:val="0"/>
              <w14:checkedState w14:val="2612" w14:font="MS Gothic"/>
              <w14:uncheckedState w14:val="2610" w14:font="MS Gothic"/>
            </w14:checkbox>
          </w:sdtPr>
          <w:sdtContent>
            <w:tc>
              <w:tcPr>
                <w:tcW w:w="680" w:type="dxa"/>
                <w:tcMar>
                  <w:top w:w="65" w:type="dxa"/>
                  <w:left w:w="65" w:type="dxa"/>
                  <w:bottom w:w="65" w:type="dxa"/>
                  <w:right w:w="65" w:type="dxa"/>
                </w:tcMar>
                <w:vAlign w:val="center"/>
              </w:tcPr>
              <w:p w14:paraId="0086AB5E" w14:textId="77777777" w:rsidR="00A4190D" w:rsidRDefault="00A4190D" w:rsidP="00A4190D">
                <w:pPr>
                  <w:jc w:val="center"/>
                  <w:rPr>
                    <w:sz w:val="22"/>
                    <w:szCs w:val="32"/>
                  </w:rPr>
                </w:pPr>
                <w:r>
                  <w:rPr>
                    <w:rFonts w:ascii="MS Gothic" w:eastAsia="MS Gothic" w:hAnsi="MS Gothic" w:hint="eastAsia"/>
                    <w:sz w:val="22"/>
                    <w:szCs w:val="32"/>
                  </w:rPr>
                  <w:t>☐</w:t>
                </w:r>
              </w:p>
            </w:tc>
          </w:sdtContent>
        </w:sdt>
      </w:tr>
    </w:tbl>
    <w:p w14:paraId="557AF8C9" w14:textId="77777777" w:rsidR="008F05E2" w:rsidRDefault="008F05E2">
      <w:pPr>
        <w:spacing w:after="0"/>
      </w:pPr>
    </w:p>
    <w:p w14:paraId="69A7113B" w14:textId="77777777" w:rsidR="008F05E2" w:rsidRDefault="008F05E2">
      <w:pPr>
        <w:spacing w:after="0"/>
      </w:pPr>
    </w:p>
    <w:p w14:paraId="494CF8F2" w14:textId="77777777" w:rsidR="00E55A9F" w:rsidRPr="001D56F8" w:rsidRDefault="00E55A9F" w:rsidP="00E55A9F">
      <w:pPr>
        <w:spacing w:after="0"/>
        <w:rPr>
          <w:sz w:val="22"/>
          <w:szCs w:val="28"/>
        </w:rPr>
      </w:pPr>
      <w:r w:rsidRPr="001D56F8">
        <w:rPr>
          <w:b/>
          <w:sz w:val="22"/>
          <w:szCs w:val="28"/>
        </w:rPr>
        <w:t>Manufacturer comments / explanation of any “</w:t>
      </w:r>
      <w:r w:rsidR="006A3A0A">
        <w:rPr>
          <w:b/>
          <w:sz w:val="22"/>
          <w:szCs w:val="28"/>
        </w:rPr>
        <w:t>fail</w:t>
      </w:r>
      <w:r w:rsidRPr="001D56F8">
        <w:rPr>
          <w:b/>
          <w:sz w:val="22"/>
          <w:szCs w:val="28"/>
        </w:rPr>
        <w:t>” answer:</w:t>
      </w:r>
    </w:p>
    <w:p w14:paraId="28F74710" w14:textId="77777777" w:rsidR="00E55A9F" w:rsidRPr="001D56F8" w:rsidRDefault="00E55A9F" w:rsidP="00E55A9F">
      <w:pPr>
        <w:spacing w:after="0"/>
        <w:rPr>
          <w:sz w:val="22"/>
          <w:szCs w:val="28"/>
        </w:rPr>
      </w:pPr>
      <w:r w:rsidRPr="001D56F8">
        <w:rPr>
          <w:sz w:val="22"/>
          <w:szCs w:val="28"/>
        </w:rPr>
        <w:t>________________________________________________________________________________</w:t>
      </w:r>
    </w:p>
    <w:p w14:paraId="316E00E9" w14:textId="77777777" w:rsidR="00E55A9F" w:rsidRPr="001D56F8" w:rsidRDefault="00E55A9F" w:rsidP="00E55A9F">
      <w:pPr>
        <w:spacing w:after="0"/>
        <w:rPr>
          <w:sz w:val="22"/>
          <w:szCs w:val="28"/>
        </w:rPr>
      </w:pPr>
      <w:r w:rsidRPr="001D56F8">
        <w:rPr>
          <w:sz w:val="22"/>
          <w:szCs w:val="28"/>
        </w:rPr>
        <w:t xml:space="preserve">Manufacturer representative: ____________________    Date: ____________    </w:t>
      </w:r>
    </w:p>
    <w:sectPr w:rsidR="00E55A9F" w:rsidRPr="001D56F8" w:rsidSect="00034616">
      <w:headerReference w:type="default" r:id="rId8"/>
      <w:footerReference w:type="default" r:id="rId9"/>
      <w:pgSz w:w="16838" w:h="11906" w:orient="landscape"/>
      <w:pgMar w:top="737" w:right="737" w:bottom="737"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47571" w14:textId="77777777" w:rsidR="00B5320F" w:rsidRDefault="00B5320F">
      <w:pPr>
        <w:spacing w:after="0" w:line="240" w:lineRule="auto"/>
      </w:pPr>
      <w:r>
        <w:separator/>
      </w:r>
    </w:p>
  </w:endnote>
  <w:endnote w:type="continuationSeparator" w:id="0">
    <w:p w14:paraId="7C96CB03" w14:textId="77777777" w:rsidR="00B5320F" w:rsidRDefault="00B53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8F07" w14:textId="77777777" w:rsidR="00854E0A" w:rsidRDefault="00854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EA6CD" w14:textId="77777777" w:rsidR="00B5320F" w:rsidRDefault="00B5320F">
      <w:pPr>
        <w:spacing w:after="0" w:line="240" w:lineRule="auto"/>
      </w:pPr>
      <w:r>
        <w:separator/>
      </w:r>
    </w:p>
  </w:footnote>
  <w:footnote w:type="continuationSeparator" w:id="0">
    <w:p w14:paraId="04D6DDDF" w14:textId="77777777" w:rsidR="00B5320F" w:rsidRDefault="00B53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FB88" w14:textId="77777777" w:rsidR="00E12FAA" w:rsidRDefault="00E12FAA" w:rsidP="00E12FAA">
    <w:pPr>
      <w:rPr>
        <w:bCs/>
        <w:sz w:val="24"/>
        <w:szCs w:val="24"/>
      </w:rPr>
    </w:pPr>
  </w:p>
  <w:p w14:paraId="381C873E" w14:textId="77777777" w:rsidR="00E12FAA" w:rsidRPr="00E12FAA" w:rsidRDefault="00E12FAA" w:rsidP="00E12FAA">
    <w:pPr>
      <w:rPr>
        <w:bCs/>
        <w:sz w:val="24"/>
        <w:szCs w:val="24"/>
      </w:rPr>
    </w:pPr>
    <w:r w:rsidRPr="00E12FAA">
      <w:rPr>
        <w:bCs/>
        <w:sz w:val="24"/>
        <w:szCs w:val="24"/>
      </w:rPr>
      <w:t xml:space="preserve">FLAME ARRESTER DESIGN SERIES SIMILARITY DECLARATION </w:t>
    </w:r>
    <w:r>
      <w:rPr>
        <w:bCs/>
        <w:sz w:val="24"/>
        <w:szCs w:val="24"/>
      </w:rPr>
      <w:t xml:space="preserve">- </w:t>
    </w:r>
    <w:r w:rsidRPr="00E12FAA">
      <w:rPr>
        <w:bCs/>
        <w:sz w:val="24"/>
        <w:szCs w:val="24"/>
      </w:rPr>
      <w:t>Based on ISO/IEC 80079-49:2024, Clause 7.2 and Table 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7864818">
    <w:abstractNumId w:val="8"/>
  </w:num>
  <w:num w:numId="2" w16cid:durableId="729229316">
    <w:abstractNumId w:val="6"/>
  </w:num>
  <w:num w:numId="3" w16cid:durableId="1618872232">
    <w:abstractNumId w:val="5"/>
  </w:num>
  <w:num w:numId="4" w16cid:durableId="581723324">
    <w:abstractNumId w:val="4"/>
  </w:num>
  <w:num w:numId="5" w16cid:durableId="1198809272">
    <w:abstractNumId w:val="7"/>
  </w:num>
  <w:num w:numId="6" w16cid:durableId="480584448">
    <w:abstractNumId w:val="3"/>
  </w:num>
  <w:num w:numId="7" w16cid:durableId="1576549039">
    <w:abstractNumId w:val="2"/>
  </w:num>
  <w:num w:numId="8" w16cid:durableId="2043313357">
    <w:abstractNumId w:val="1"/>
  </w:num>
  <w:num w:numId="9" w16cid:durableId="1880778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1A17"/>
    <w:rsid w:val="0015074B"/>
    <w:rsid w:val="0017124C"/>
    <w:rsid w:val="001D56F8"/>
    <w:rsid w:val="00242CAC"/>
    <w:rsid w:val="0029639D"/>
    <w:rsid w:val="00326F90"/>
    <w:rsid w:val="00381E58"/>
    <w:rsid w:val="0042521B"/>
    <w:rsid w:val="005E4A60"/>
    <w:rsid w:val="006A3A0A"/>
    <w:rsid w:val="006B41AF"/>
    <w:rsid w:val="007A1F1E"/>
    <w:rsid w:val="00854E0A"/>
    <w:rsid w:val="00882D7F"/>
    <w:rsid w:val="008F05E2"/>
    <w:rsid w:val="009A0263"/>
    <w:rsid w:val="009E6D1E"/>
    <w:rsid w:val="00A4190D"/>
    <w:rsid w:val="00A6149A"/>
    <w:rsid w:val="00A9327A"/>
    <w:rsid w:val="00AA1D8D"/>
    <w:rsid w:val="00B47730"/>
    <w:rsid w:val="00B5320F"/>
    <w:rsid w:val="00BD1613"/>
    <w:rsid w:val="00C7793D"/>
    <w:rsid w:val="00CB0664"/>
    <w:rsid w:val="00E12FAA"/>
    <w:rsid w:val="00E55A9F"/>
    <w:rsid w:val="00E76B89"/>
    <w:rsid w:val="00FA18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E521CF"/>
  <w14:defaultImageDpi w14:val="300"/>
  <w15:docId w15:val="{CDF61F63-4836-40EB-9740-C9B9D578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atex@conformex.it</cp:lastModifiedBy>
  <cp:revision>2</cp:revision>
  <dcterms:created xsi:type="dcterms:W3CDTF">2026-09-05T16:38:00Z</dcterms:created>
  <dcterms:modified xsi:type="dcterms:W3CDTF">2026-09-05T16:38:00Z</dcterms:modified>
  <cp:category/>
</cp:coreProperties>
</file>